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sans-serif" w:hAnsi="sans-serif"/>
          <w:b/>
          <w:color w:val="000000"/>
          <w:sz w:val="36"/>
        </w:rPr>
      </w:pPr>
      <w:r>
        <w:rPr>
          <w:rFonts w:ascii="sans-serif" w:hAnsi="sans-serif"/>
          <w:b/>
          <w:color w:val="000000"/>
          <w:sz w:val="36"/>
        </w:rPr>
        <w:t>UNITED STATES</w:t>
      </w:r>
    </w:p>
    <w:p>
      <w:pPr>
        <w:pStyle w:val="TextBody"/>
        <w:bidi w:val="0"/>
        <w:spacing w:lineRule="auto" w:line="288" w:before="0" w:after="0"/>
        <w:jc w:val="center"/>
        <w:rPr>
          <w:rFonts w:ascii="sans-serif" w:hAnsi="sans-serif"/>
          <w:b/>
          <w:color w:val="000000"/>
          <w:sz w:val="36"/>
        </w:rPr>
      </w:pPr>
      <w:r>
        <w:rPr>
          <w:rFonts w:ascii="sans-serif" w:hAnsi="sans-serif"/>
          <w:b/>
          <w:color w:val="000000"/>
          <w:sz w:val="36"/>
        </w:rPr>
        <w:t>SECURITIES AND EXCHANGE COMMISSION</w:t>
      </w:r>
    </w:p>
    <w:p>
      <w:pPr>
        <w:pStyle w:val="TextBody"/>
        <w:bidi w:val="0"/>
        <w:spacing w:lineRule="auto" w:line="288" w:before="0" w:after="120"/>
        <w:jc w:val="center"/>
        <w:rPr>
          <w:rFonts w:ascii="sans-serif" w:hAnsi="sans-serif"/>
          <w:b/>
          <w:color w:val="000000"/>
          <w:sz w:val="24"/>
        </w:rPr>
      </w:pPr>
      <w:r>
        <w:rPr>
          <w:rFonts w:ascii="sans-serif" w:hAnsi="sans-serif"/>
          <w:b/>
          <w:color w:val="000000"/>
          <w:sz w:val="24"/>
        </w:rPr>
        <w:t>Washington, D.C. 20549</w:t>
      </w:r>
    </w:p>
    <w:p>
      <w:pPr>
        <w:pStyle w:val="TextBody"/>
        <w:bidi w:val="0"/>
        <w:spacing w:lineRule="auto" w:line="288" w:before="0" w:after="240"/>
        <w:jc w:val="center"/>
        <w:rPr>
          <w:rFonts w:ascii="sans-serif" w:hAnsi="sans-serif"/>
          <w:b w:val="false"/>
          <w:color w:val="000000"/>
          <w:sz w:val="20"/>
        </w:rPr>
      </w:pPr>
      <w:r>
        <w:rPr>
          <w:rFonts w:ascii="sans-serif" w:hAnsi="sans-serif"/>
          <w:b w:val="false"/>
          <w:color w:val="000000"/>
          <w:sz w:val="20"/>
        </w:rPr>
        <w:t>_______________________________</w:t>
      </w:r>
    </w:p>
    <w:p>
      <w:pPr>
        <w:pStyle w:val="TextBody"/>
        <w:bidi w:val="0"/>
        <w:spacing w:lineRule="auto" w:line="288" w:before="0" w:after="0"/>
        <w:jc w:val="center"/>
        <w:rPr>
          <w:rFonts w:ascii="sans-serif" w:hAnsi="sans-serif"/>
          <w:b/>
          <w:color w:val="000000"/>
          <w:sz w:val="36"/>
        </w:rPr>
      </w:pPr>
      <w:r>
        <w:rPr>
          <w:rFonts w:ascii="sans-serif" w:hAnsi="sans-serif"/>
          <w:b/>
          <w:color w:val="000000"/>
          <w:sz w:val="36"/>
        </w:rPr>
        <w:t>FORM 8-K</w:t>
      </w:r>
    </w:p>
    <w:p>
      <w:pPr>
        <w:pStyle w:val="TextBody"/>
        <w:bidi w:val="0"/>
        <w:spacing w:lineRule="auto" w:line="288" w:before="0" w:after="240"/>
        <w:jc w:val="center"/>
        <w:rPr>
          <w:rFonts w:ascii="sans-serif" w:hAnsi="sans-serif"/>
          <w:b w:val="false"/>
          <w:color w:val="000000"/>
          <w:sz w:val="20"/>
        </w:rPr>
      </w:pPr>
      <w:r>
        <w:rPr>
          <w:rFonts w:ascii="sans-serif" w:hAnsi="sans-serif"/>
          <w:b w:val="false"/>
          <w:color w:val="000000"/>
          <w:sz w:val="20"/>
        </w:rPr>
        <w:t>_______________________________</w:t>
      </w:r>
    </w:p>
    <w:p>
      <w:pPr>
        <w:pStyle w:val="TextBody"/>
        <w:bidi w:val="0"/>
        <w:spacing w:lineRule="auto" w:line="288" w:before="0" w:after="240"/>
        <w:jc w:val="center"/>
        <w:rPr>
          <w:rFonts w:ascii="sans-serif" w:hAnsi="sans-serif"/>
          <w:b/>
          <w:color w:val="000000"/>
          <w:sz w:val="20"/>
        </w:rPr>
      </w:pPr>
      <w:r>
        <w:rPr>
          <w:rFonts w:ascii="sans-serif" w:hAnsi="sans-serif"/>
          <w:b/>
          <w:color w:val="000000"/>
          <w:sz w:val="20"/>
        </w:rPr>
        <w:t>CURRENT REPORT</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Pursuant to Section 13 or 15(d) of the</w:t>
      </w:r>
    </w:p>
    <w:p>
      <w:pPr>
        <w:pStyle w:val="TextBody"/>
        <w:bidi w:val="0"/>
        <w:spacing w:lineRule="auto" w:line="288" w:before="0" w:after="240"/>
        <w:jc w:val="center"/>
        <w:rPr>
          <w:rFonts w:ascii="sans-serif" w:hAnsi="sans-serif"/>
          <w:b/>
          <w:color w:val="000000"/>
          <w:sz w:val="20"/>
        </w:rPr>
      </w:pPr>
      <w:r>
        <w:rPr>
          <w:rFonts w:ascii="sans-serif" w:hAnsi="sans-serif"/>
          <w:b/>
          <w:color w:val="000000"/>
          <w:sz w:val="20"/>
        </w:rPr>
        <w:t>Securities Exchange Act of 1934</w:t>
      </w:r>
    </w:p>
    <w:p>
      <w:pPr>
        <w:pStyle w:val="TextBody"/>
        <w:bidi w:val="0"/>
        <w:spacing w:lineRule="auto" w:line="288" w:before="0" w:after="240"/>
        <w:jc w:val="center"/>
        <w:rPr/>
      </w:pPr>
      <w:r>
        <w:rPr>
          <w:rFonts w:ascii="sans-serif" w:hAnsi="sans-serif"/>
          <w:b w:val="false"/>
          <w:color w:val="000000"/>
          <w:sz w:val="20"/>
        </w:rPr>
        <w:t>Date of Report (Date of earliest event reported):</w:t>
      </w:r>
      <w:r>
        <w:rPr>
          <w:color w:val="000000"/>
        </w:rPr>
        <w:t xml:space="preserve"> </w:t>
      </w:r>
      <w:r>
        <w:rPr>
          <w:rFonts w:ascii="sans-serif" w:hAnsi="sans-serif"/>
          <w:b/>
          <w:color w:val="000000"/>
          <w:sz w:val="20"/>
        </w:rPr>
        <w:t>September 14, 2026</w:t>
      </w:r>
    </w:p>
    <w:tbl>
      <w:tblPr>
        <w:tblW w:w="5519" w:type="dxa"/>
        <w:jc w:val="left"/>
        <w:tblInd w:w="0" w:type="dxa"/>
        <w:tblLayout w:type="fixed"/>
        <w:tblCellMar>
          <w:top w:w="28" w:type="dxa"/>
          <w:left w:w="28" w:type="dxa"/>
          <w:bottom w:w="28" w:type="dxa"/>
          <w:right w:w="28" w:type="dxa"/>
        </w:tblCellMar>
      </w:tblPr>
      <w:tblGrid>
        <w:gridCol w:w="1768"/>
        <w:gridCol w:w="1554"/>
        <w:gridCol w:w="2197"/>
      </w:tblGrid>
      <w:tr>
        <w:trPr/>
        <w:tc>
          <w:tcPr>
            <w:tcW w:w="1768"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2197" w:type="dxa"/>
            <w:tcBorders/>
            <w:vAlign w:val="center"/>
          </w:tcPr>
          <w:p>
            <w:pPr>
              <w:pStyle w:val="TableContents"/>
              <w:bidi w:val="0"/>
              <w:spacing w:before="0" w:after="283"/>
              <w:jc w:val="left"/>
              <w:rPr>
                <w:sz w:val="4"/>
                <w:szCs w:val="4"/>
              </w:rPr>
            </w:pPr>
            <w:r>
              <w:rPr>
                <w:sz w:val="4"/>
                <w:szCs w:val="4"/>
              </w:rPr>
            </w:r>
          </w:p>
        </w:tc>
      </w:tr>
      <w:tr>
        <w:trPr/>
        <w:tc>
          <w:tcPr>
            <w:tcW w:w="5519" w:type="dxa"/>
            <w:gridSpan w:val="3"/>
            <w:tcBorders/>
            <w:tcMar>
              <w:top w:w="0" w:type="dxa"/>
              <w:left w:w="0" w:type="dxa"/>
              <w:bottom w:w="0" w:type="dxa"/>
              <w:right w:w="0" w:type="dxa"/>
            </w:tcMar>
            <w:vAlign w:val="center"/>
          </w:tcPr>
          <w:p>
            <w:pPr>
              <w:pStyle w:val="TableContents"/>
              <w:bidi w:val="0"/>
              <w:spacing w:lineRule="auto" w:line="288" w:before="200" w:after="283"/>
              <w:jc w:val="center"/>
              <w:rPr>
                <w:rFonts w:ascii="sans-serif" w:hAnsi="sans-serif"/>
                <w:b/>
                <w:color w:val="000000"/>
                <w:sz w:val="36"/>
              </w:rPr>
            </w:pPr>
            <w:r>
              <w:rPr>
                <w:rFonts w:ascii="sans-serif" w:hAnsi="sans-serif"/>
                <w:b/>
                <w:color w:val="000000"/>
                <w:sz w:val="36"/>
              </w:rPr>
              <w:t>CARIS LIFE SCIENCES, INC.</w:t>
            </w:r>
          </w:p>
        </w:tc>
      </w:tr>
      <w:tr>
        <w:trPr/>
        <w:tc>
          <w:tcPr>
            <w:tcW w:w="55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(Exact name of registrant as specified in its charter)</w:t>
            </w:r>
          </w:p>
        </w:tc>
      </w:tr>
    </w:tbl>
    <w:tbl>
      <w:tblPr>
        <w:tblW w:w="6923" w:type="dxa"/>
        <w:jc w:val="left"/>
        <w:tblInd w:w="0" w:type="dxa"/>
        <w:tblLayout w:type="fixed"/>
        <w:tblCellMar>
          <w:top w:w="28" w:type="dxa"/>
          <w:left w:w="28" w:type="dxa"/>
          <w:bottom w:w="28" w:type="dxa"/>
          <w:right w:w="28" w:type="dxa"/>
        </w:tblCellMar>
      </w:tblPr>
      <w:tblGrid>
        <w:gridCol w:w="1057"/>
        <w:gridCol w:w="931"/>
        <w:gridCol w:w="937"/>
        <w:gridCol w:w="109"/>
        <w:gridCol w:w="109"/>
        <w:gridCol w:w="109"/>
        <w:gridCol w:w="483"/>
        <w:gridCol w:w="483"/>
        <w:gridCol w:w="488"/>
        <w:gridCol w:w="109"/>
        <w:gridCol w:w="109"/>
        <w:gridCol w:w="109"/>
        <w:gridCol w:w="554"/>
        <w:gridCol w:w="554"/>
        <w:gridCol w:w="782"/>
      </w:tblGrid>
      <w:tr>
        <w:trPr/>
        <w:tc>
          <w:tcPr>
            <w:tcW w:w="1057"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001-42706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85-2077369</w:t>
            </w:r>
          </w:p>
        </w:tc>
      </w:tr>
      <w:tr>
        <w:trPr/>
        <w:tc>
          <w:tcPr>
            <w:tcW w:w="29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(State or other jurisdiction of</w:t>
              <w:br/>
              <w:t>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 xml:space="preserve">(Commission </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(IRS Employer</w:t>
              <w:br/>
              <w:t>Identification No.)</w:t>
            </w:r>
          </w:p>
        </w:tc>
      </w:tr>
    </w:tbl>
    <w:tbl>
      <w:tblPr>
        <w:tblW w:w="6222" w:type="dxa"/>
        <w:jc w:val="left"/>
        <w:tblInd w:w="0" w:type="dxa"/>
        <w:tblLayout w:type="fixed"/>
        <w:tblCellMar>
          <w:top w:w="28" w:type="dxa"/>
          <w:left w:w="28" w:type="dxa"/>
          <w:bottom w:w="28" w:type="dxa"/>
          <w:right w:w="28" w:type="dxa"/>
        </w:tblCellMar>
      </w:tblPr>
      <w:tblGrid>
        <w:gridCol w:w="1710"/>
        <w:gridCol w:w="1504"/>
        <w:gridCol w:w="1511"/>
        <w:gridCol w:w="109"/>
        <w:gridCol w:w="109"/>
        <w:gridCol w:w="109"/>
        <w:gridCol w:w="343"/>
        <w:gridCol w:w="343"/>
        <w:gridCol w:w="484"/>
      </w:tblGrid>
      <w:tr>
        <w:trPr/>
        <w:tc>
          <w:tcPr>
            <w:tcW w:w="1710"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color w:val="000000"/>
                <w:sz w:val="20"/>
              </w:rPr>
            </w:pPr>
            <w:r>
              <w:rPr>
                <w:rFonts w:ascii="sans-serif" w:hAnsi="sans-serif"/>
                <w:b/>
                <w:color w:val="000000"/>
                <w:sz w:val="20"/>
              </w:rPr>
              <w:t>750 W. John Carpenter Freeway Suite 800</w:t>
            </w:r>
          </w:p>
          <w:p>
            <w:pPr>
              <w:pStyle w:val="TableContents"/>
              <w:bidi w:val="0"/>
              <w:spacing w:lineRule="auto" w:line="288" w:before="0" w:after="0"/>
              <w:jc w:val="center"/>
              <w:rPr>
                <w:color w:val="000000"/>
              </w:rPr>
            </w:pPr>
            <w:r>
              <w:rPr>
                <w:color w:val="000000"/>
              </w:rPr>
              <w:t> </w:t>
            </w:r>
            <w:r>
              <w:rPr>
                <w:rFonts w:ascii="sans-serif" w:hAnsi="sans-serif"/>
                <w:b/>
                <w:color w:val="000000"/>
                <w:sz w:val="20"/>
              </w:rPr>
              <w:t>Irving, 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75039</w:t>
            </w:r>
          </w:p>
        </w:tc>
      </w:tr>
      <w:tr>
        <w:trPr/>
        <w:tc>
          <w:tcPr>
            <w:tcW w:w="47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(Zip Code)</w:t>
            </w:r>
          </w:p>
        </w:tc>
      </w:tr>
    </w:tbl>
    <w:p>
      <w:pPr>
        <w:pStyle w:val="TextBody"/>
        <w:bidi w:val="0"/>
        <w:spacing w:lineRule="auto" w:line="288" w:before="0" w:after="240"/>
        <w:jc w:val="center"/>
        <w:rPr/>
      </w:pPr>
      <w:r>
        <w:rPr>
          <w:rFonts w:ascii="sans-serif" w:hAnsi="sans-serif"/>
          <w:b w:val="false"/>
          <w:color w:val="000000"/>
          <w:sz w:val="20"/>
        </w:rPr>
        <w:t xml:space="preserve">Registrant’s telephone number, including area code: </w:t>
      </w:r>
      <w:r>
        <w:rPr>
          <w:rFonts w:ascii="sans-serif" w:hAnsi="sans-serif"/>
          <w:b/>
          <w:color w:val="000000"/>
          <w:sz w:val="20"/>
        </w:rPr>
        <w:t>(866) 771-8946</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Not Applicable</w:t>
      </w:r>
    </w:p>
    <w:p>
      <w:pPr>
        <w:pStyle w:val="TextBody"/>
        <w:bidi w:val="0"/>
        <w:spacing w:lineRule="auto" w:line="288" w:before="0" w:after="120"/>
        <w:jc w:val="center"/>
        <w:rPr>
          <w:rFonts w:ascii="sans-serif" w:hAnsi="sans-serif"/>
          <w:b w:val="false"/>
          <w:color w:val="000000"/>
          <w:sz w:val="20"/>
        </w:rPr>
      </w:pPr>
      <w:r>
        <w:rPr>
          <w:rFonts w:ascii="sans-serif" w:hAnsi="sans-serif"/>
          <w:b w:val="false"/>
          <w:color w:val="000000"/>
          <w:sz w:val="20"/>
        </w:rPr>
        <w:t>(Former name or former address, if changed since last report)</w:t>
      </w:r>
    </w:p>
    <w:p>
      <w:pPr>
        <w:pStyle w:val="TextBody"/>
        <w:bidi w:val="0"/>
        <w:spacing w:lineRule="auto" w:line="288" w:before="0" w:after="240"/>
        <w:jc w:val="center"/>
        <w:rPr>
          <w:rFonts w:ascii="sans-serif" w:hAnsi="sans-serif"/>
          <w:b w:val="false"/>
          <w:color w:val="000000"/>
          <w:sz w:val="20"/>
        </w:rPr>
      </w:pPr>
      <w:r>
        <w:rPr>
          <w:rFonts w:ascii="sans-serif" w:hAnsi="sans-serif"/>
          <w:b w:val="false"/>
          <w:color w:val="000000"/>
          <w:sz w:val="20"/>
        </w:rPr>
        <w:t>_______________________________</w:t>
      </w:r>
    </w:p>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Check the appropriate box below if the Form 8-K filing is intended to simultaneously satisfy the filing obligation of the registrant under any of the following provisions:</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829"/>
        <w:gridCol w:w="2772"/>
        <w:gridCol w:w="393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9" w:type="dxa"/>
            <w:tcBorders/>
            <w:vAlign w:val="center"/>
          </w:tcPr>
          <w:p>
            <w:pPr>
              <w:pStyle w:val="TableContents"/>
              <w:bidi w:val="0"/>
              <w:spacing w:before="0" w:after="283"/>
              <w:jc w:val="left"/>
              <w:rPr>
                <w:sz w:val="4"/>
                <w:szCs w:val="4"/>
              </w:rPr>
            </w:pPr>
            <w:r>
              <w:rPr>
                <w:sz w:val="4"/>
                <w:szCs w:val="4"/>
              </w:rPr>
            </w:r>
          </w:p>
        </w:tc>
        <w:tc>
          <w:tcPr>
            <w:tcW w:w="2772" w:type="dxa"/>
            <w:tcBorders/>
            <w:vAlign w:val="center"/>
          </w:tcPr>
          <w:p>
            <w:pPr>
              <w:pStyle w:val="TableContents"/>
              <w:bidi w:val="0"/>
              <w:spacing w:before="0" w:after="283"/>
              <w:jc w:val="left"/>
              <w:rPr>
                <w:sz w:val="4"/>
                <w:szCs w:val="4"/>
              </w:rPr>
            </w:pPr>
            <w:r>
              <w:rPr>
                <w:sz w:val="4"/>
                <w:szCs w:val="4"/>
              </w:rPr>
            </w:r>
          </w:p>
        </w:tc>
        <w:tc>
          <w:tcPr>
            <w:tcW w:w="393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Pre-commencement communications pursuant to Rule 13e-4(c) under the Exchange Act (17 CFR 240.13e-4(c))</w:t>
            </w:r>
          </w:p>
        </w:tc>
      </w:tr>
    </w:tbl>
    <w:p>
      <w:pPr>
        <w:pStyle w:val="TextBody"/>
        <w:bidi w:val="0"/>
        <w:spacing w:lineRule="auto" w:line="288" w:before="0" w:after="240"/>
        <w:jc w:val="left"/>
        <w:rPr>
          <w:rFonts w:ascii="sans-serif" w:hAnsi="sans-serif"/>
          <w:b w:val="false"/>
          <w:color w:val="000000"/>
          <w:sz w:val="20"/>
        </w:rPr>
      </w:pPr>
      <w:r>
        <w:rPr>
          <w:rFonts w:ascii="sans-serif" w:hAnsi="sans-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199"/>
        <w:gridCol w:w="1043"/>
        <w:gridCol w:w="1048"/>
        <w:gridCol w:w="109"/>
        <w:gridCol w:w="109"/>
        <w:gridCol w:w="109"/>
        <w:gridCol w:w="619"/>
        <w:gridCol w:w="619"/>
        <w:gridCol w:w="621"/>
        <w:gridCol w:w="109"/>
        <w:gridCol w:w="109"/>
        <w:gridCol w:w="109"/>
        <w:gridCol w:w="1288"/>
        <w:gridCol w:w="1288"/>
        <w:gridCol w:w="1826"/>
      </w:tblGrid>
      <w:tr>
        <w:trPr/>
        <w:tc>
          <w:tcPr>
            <w:tcW w:w="1199"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826" w:type="dxa"/>
            <w:tcBorders/>
            <w:vAlign w:val="center"/>
          </w:tcPr>
          <w:p>
            <w:pPr>
              <w:pStyle w:val="TableContents"/>
              <w:bidi w:val="0"/>
              <w:spacing w:before="0" w:after="283"/>
              <w:jc w:val="left"/>
              <w:rPr>
                <w:sz w:val="4"/>
                <w:szCs w:val="4"/>
              </w:rPr>
            </w:pPr>
            <w:r>
              <w:rPr>
                <w:sz w:val="4"/>
                <w:szCs w:val="4"/>
              </w:rPr>
            </w:r>
          </w:p>
        </w:tc>
      </w:tr>
      <w:tr>
        <w:trPr/>
        <w:tc>
          <w:tcPr>
            <w:tcW w:w="3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Name of each exchange on which registered</w:t>
            </w:r>
          </w:p>
        </w:tc>
      </w:tr>
      <w:tr>
        <w:trPr/>
        <w:tc>
          <w:tcPr>
            <w:tcW w:w="32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Common Stock, $0.001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CAI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The Nasdaq Stock Market LLC</w:t>
            </w:r>
          </w:p>
        </w:tc>
      </w:tr>
      <w:tr>
        <w:trPr/>
        <w:tc>
          <w:tcPr>
            <w:tcW w:w="3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Common Stock, $0.001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CAI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New York Stock Exchange Texas</w:t>
            </w:r>
          </w:p>
        </w:tc>
      </w:tr>
    </w:tbl>
    <w:p>
      <w:pPr>
        <w:pStyle w:val="TextBody"/>
        <w:bidi w:val="0"/>
        <w:spacing w:lineRule="auto" w:line="288" w:before="0" w:after="240"/>
        <w:jc w:val="both"/>
        <w:rPr>
          <w:rFonts w:ascii="sans-serif" w:hAnsi="sans-serif"/>
          <w:b w:val="false"/>
          <w:color w:val="000000"/>
          <w:sz w:val="20"/>
        </w:rPr>
      </w:pPr>
      <w:r>
        <w:rPr>
          <w:rFonts w:ascii="sans-serif" w:hAnsi="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240"/>
        <w:jc w:val="left"/>
        <w:rPr>
          <w:rFonts w:ascii="sans-serif" w:hAnsi="sans-serif"/>
          <w:b w:val="false"/>
          <w:color w:val="000000"/>
          <w:sz w:val="20"/>
        </w:rPr>
      </w:pPr>
      <w:r>
        <w:rPr>
          <w:rFonts w:ascii="sans-serif" w:hAnsi="sans-serif"/>
          <w:b w:val="false"/>
          <w:color w:val="000000"/>
          <w:sz w:val="20"/>
        </w:rPr>
        <w:t>Emerging growth company ☒</w:t>
      </w:r>
    </w:p>
    <w:p>
      <w:pPr>
        <w:pStyle w:val="TextBody"/>
        <w:bidi w:val="0"/>
        <w:spacing w:lineRule="auto" w:line="288" w:before="0" w:after="120"/>
        <w:jc w:val="both"/>
        <w:rPr/>
      </w:pPr>
      <w:r>
        <w:rPr>
          <w:rFonts w:ascii="sans-serif" w:hAnsi="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00"/>
        <w:jc w:val="left"/>
        <w:rPr>
          <w:rFonts w:ascii="sans-serif" w:hAnsi="sans-serif"/>
          <w:b/>
          <w:color w:val="000000"/>
          <w:sz w:val="20"/>
        </w:rPr>
      </w:pPr>
      <w:r>
        <w:rPr>
          <w:rFonts w:ascii="sans-serif" w:hAnsi="sans-serif"/>
          <w:b/>
          <w:color w:val="000000"/>
          <w:sz w:val="20"/>
        </w:rPr>
        <w:t>Item 7.01    Regulation FD Disclosure</w:t>
      </w:r>
    </w:p>
    <w:p>
      <w:pPr>
        <w:pStyle w:val="TextBody"/>
        <w:bidi w:val="0"/>
        <w:spacing w:lineRule="auto" w:line="288" w:before="0" w:after="200"/>
        <w:ind w:left="0" w:right="0" w:firstLine="720"/>
        <w:jc w:val="both"/>
        <w:rPr/>
      </w:pPr>
      <w:r>
        <w:rPr>
          <w:rFonts w:ascii="sans-serif" w:hAnsi="sans-serif"/>
          <w:b w:val="false"/>
          <w:color w:val="000000"/>
          <w:sz w:val="20"/>
        </w:rPr>
        <w:t>Beginning on September 14, 2026, representatives of Caris Life Sciences, Inc. (the “</w:t>
      </w:r>
      <w:r>
        <w:rPr>
          <w:rFonts w:ascii="sans-serif" w:hAnsi="sans-serif"/>
          <w:b/>
          <w:i/>
          <w:color w:val="000000"/>
          <w:sz w:val="20"/>
        </w:rPr>
        <w:t>Company</w:t>
      </w:r>
      <w:r>
        <w:rPr>
          <w:color w:val="000000"/>
        </w:rPr>
        <w:t>”</w:t>
      </w:r>
      <w:r>
        <w:rPr>
          <w:rFonts w:ascii="sans-serif" w:hAnsi="sans-serif"/>
          <w:b w:val="false"/>
          <w:color w:val="000000"/>
          <w:sz w:val="20"/>
        </w:rPr>
        <w:t>) intend to use an investor presentation (the “</w:t>
      </w:r>
      <w:r>
        <w:rPr>
          <w:rFonts w:ascii="sans-serif" w:hAnsi="sans-serif"/>
          <w:b/>
          <w:i/>
          <w:color w:val="000000"/>
          <w:sz w:val="20"/>
        </w:rPr>
        <w:t>Investor Presentation</w:t>
      </w:r>
      <w:r>
        <w:rPr>
          <w:color w:val="000000"/>
        </w:rPr>
        <w:t>”</w:t>
      </w:r>
      <w:r>
        <w:rPr>
          <w:rFonts w:ascii="sans-serif" w:hAnsi="sans-serif"/>
          <w:b w:val="false"/>
          <w:color w:val="000000"/>
          <w:sz w:val="20"/>
        </w:rPr>
        <w:t>) in meetings with current and potential investors at the Morgan Stanley 24th Annual Global Healthcare Conference and from time to time at other investor conferences and meetings. The Company will post the Investor Presentation on its investor relations website at https://investor.carislifesciences.com. The website and presentation contents referenced herein are not incorporated into this Current Report on Form 8-K.</w:t>
      </w:r>
    </w:p>
    <w:p>
      <w:pPr>
        <w:pStyle w:val="TextBody"/>
        <w:bidi w:val="0"/>
        <w:spacing w:lineRule="auto" w:line="288" w:before="0" w:after="200"/>
        <w:ind w:left="0" w:right="0" w:firstLine="720"/>
        <w:jc w:val="both"/>
        <w:rPr/>
      </w:pPr>
      <w:r>
        <w:rPr>
          <w:rFonts w:ascii="sans-serif" w:hAnsi="sans-serif"/>
          <w:b w:val="false"/>
          <w:color w:val="000000"/>
          <w:sz w:val="20"/>
        </w:rPr>
        <w:t>The information in this Item 7.01 is being furnished and shall not be deemed “filed” for purposes of Section 18 of the Securities Exchange Act of 1934, as amended (the “</w:t>
      </w:r>
      <w:r>
        <w:rPr>
          <w:rFonts w:ascii="sans-serif" w:hAnsi="sans-serif"/>
          <w:b/>
          <w:i/>
          <w:color w:val="000000"/>
          <w:sz w:val="20"/>
        </w:rPr>
        <w:t>Exchange Act</w:t>
      </w:r>
      <w:r>
        <w:rPr>
          <w:color w:val="000000"/>
        </w:rPr>
        <w:t>”</w:t>
      </w:r>
      <w:r>
        <w:rPr>
          <w:rFonts w:ascii="sans-serif" w:hAnsi="sans-serif"/>
          <w:b w:val="false"/>
          <w:color w:val="000000"/>
          <w:sz w:val="20"/>
        </w:rPr>
        <w:t>), or otherwise subject to the liabilities of that section, nor shall it be deemed incorporated by reference in any filing under the Securities Act of 1933, as amended, or the Exchange Act, except as expressly set forth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00"/>
        <w:jc w:val="center"/>
        <w:rPr>
          <w:rFonts w:ascii="sans-serif" w:hAnsi="sans-serif"/>
          <w:b/>
          <w:color w:val="000000"/>
          <w:sz w:val="20"/>
        </w:rPr>
      </w:pPr>
      <w:r>
        <w:rPr>
          <w:rFonts w:ascii="sans-serif" w:hAnsi="sans-serif"/>
          <w:b/>
          <w:color w:val="000000"/>
          <w:sz w:val="20"/>
        </w:rPr>
        <w:t>SIGNATURES</w:t>
      </w:r>
    </w:p>
    <w:p>
      <w:pPr>
        <w:pStyle w:val="TextBody"/>
        <w:bidi w:val="0"/>
        <w:spacing w:lineRule="auto" w:line="288" w:before="0" w:after="200"/>
        <w:jc w:val="both"/>
        <w:rPr>
          <w:rFonts w:ascii="sans-serif" w:hAnsi="sans-serif"/>
          <w:b w:val="false"/>
          <w:color w:val="000000"/>
          <w:sz w:val="20"/>
        </w:rPr>
      </w:pPr>
      <w:r>
        <w:rPr>
          <w:rFonts w:ascii="sans-serif" w:hAnsi="sans-serif"/>
          <w:b w:val="false"/>
          <w:color w:val="000000"/>
          <w:sz w:val="20"/>
        </w:rPr>
        <w:t>Pursuant to the requirements of the Securities Exchange Act of 1934, the registrant has duly caused this report to be signed on its behalf by the undersigned hereunto duly authorized.</w:t>
      </w:r>
    </w:p>
    <w:tbl>
      <w:tblPr>
        <w:tblW w:w="10205" w:type="dxa"/>
        <w:jc w:val="left"/>
        <w:tblInd w:w="0" w:type="dxa"/>
        <w:tblLayout w:type="fixed"/>
        <w:tblCellMar>
          <w:top w:w="28" w:type="dxa"/>
          <w:left w:w="28" w:type="dxa"/>
          <w:bottom w:w="28" w:type="dxa"/>
          <w:right w:w="28" w:type="dxa"/>
        </w:tblCellMar>
      </w:tblPr>
      <w:tblGrid>
        <w:gridCol w:w="864"/>
        <w:gridCol w:w="757"/>
        <w:gridCol w:w="764"/>
        <w:gridCol w:w="457"/>
        <w:gridCol w:w="445"/>
        <w:gridCol w:w="445"/>
        <w:gridCol w:w="1902"/>
        <w:gridCol w:w="1898"/>
        <w:gridCol w:w="2673"/>
      </w:tblGrid>
      <w:tr>
        <w:trPr/>
        <w:tc>
          <w:tcPr>
            <w:tcW w:w="86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1898" w:type="dxa"/>
            <w:tcBorders/>
            <w:vAlign w:val="center"/>
          </w:tcPr>
          <w:p>
            <w:pPr>
              <w:pStyle w:val="TableContents"/>
              <w:bidi w:val="0"/>
              <w:spacing w:before="0" w:after="283"/>
              <w:jc w:val="left"/>
              <w:rPr>
                <w:sz w:val="4"/>
                <w:szCs w:val="4"/>
              </w:rPr>
            </w:pPr>
            <w:r>
              <w:rPr>
                <w:sz w:val="4"/>
                <w:szCs w:val="4"/>
              </w:rPr>
            </w:r>
          </w:p>
        </w:tc>
        <w:tc>
          <w:tcPr>
            <w:tcW w:w="2673"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Date: September 14, 2026</w:t>
            </w:r>
          </w:p>
        </w:tc>
        <w:tc>
          <w:tcPr>
            <w:tcW w:w="1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0"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CARIS LIFE SCIENCES, INC.</w:t>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By:</w:t>
            </w:r>
          </w:p>
        </w:tc>
        <w:tc>
          <w:tcPr>
            <w:tcW w:w="647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/s/ Luke Power</w:t>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Name:</w:t>
            </w:r>
          </w:p>
        </w:tc>
        <w:tc>
          <w:tcPr>
            <w:tcW w:w="64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Luke Power</w:t>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Title:</w:t>
            </w:r>
          </w:p>
        </w:tc>
        <w:tc>
          <w:tcPr>
            <w:tcW w:w="647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Senior Vice President, Chief Financial Officer and Chief Accounting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533</Words>
  <Characters>3010</Characters>
  <CharactersWithSpaces>3486</CharactersWithSpaces>
  <Paragraphs>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