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0002071953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DAVID SPETZLER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119212</w:t>
            </w:r>
          </w:p>
        </w:tc>
        <w:tc>
          <w:tcPr>
            <w:tcW w:w="1457" w:type="dxa"/>
            <w:tcBorders/>
            <w:vAlign w:val="center"/>
          </w:tcPr>
          <w:p>
            <w:pPr>
              <w:pStyle w:val="TableContents"/>
              <w:bidi w:val="0"/>
              <w:spacing w:before="0" w:after="283"/>
              <w:jc w:val="left"/>
              <w:rPr/>
            </w:pPr>
            <w:r>
              <w:rPr/>
              <w:t>2951116.90</w:t>
            </w:r>
          </w:p>
        </w:tc>
        <w:tc>
          <w:tcPr>
            <w:tcW w:w="1547" w:type="dxa"/>
            <w:tcBorders/>
            <w:vAlign w:val="center"/>
          </w:tcPr>
          <w:p>
            <w:pPr>
              <w:pStyle w:val="TableContents"/>
              <w:bidi w:val="0"/>
              <w:spacing w:before="0" w:after="283"/>
              <w:jc w:val="left"/>
              <w:rPr/>
            </w:pPr>
            <w:r>
              <w:rPr/>
              <w:t>282595186</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119212</w:t>
            </w:r>
          </w:p>
        </w:tc>
        <w:tc>
          <w:tcPr>
            <w:tcW w:w="1078" w:type="dxa"/>
            <w:tcBorders/>
            <w:vAlign w:val="center"/>
          </w:tcPr>
          <w:p>
            <w:pPr>
              <w:pStyle w:val="TableContents"/>
              <w:bidi w:val="0"/>
              <w:spacing w:before="0" w:after="283"/>
              <w:jc w:val="left"/>
              <w:rPr/>
            </w:pPr>
            <w:r>
              <w:rPr/>
              <w:t>09/04/2026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4"/>
        <w:gridCol w:w="2766"/>
        <w:gridCol w:w="912"/>
        <w:gridCol w:w="1518"/>
        <w:gridCol w:w="1885"/>
      </w:tblGrid>
      <w:tr>
        <w:trPr/>
        <w:tc>
          <w:tcPr>
            <w:tcW w:w="3124" w:type="dxa"/>
            <w:tcBorders/>
            <w:vAlign w:val="center"/>
          </w:tcPr>
          <w:p>
            <w:pPr>
              <w:pStyle w:val="TableHeading"/>
              <w:suppressLineNumbers/>
              <w:bidi w:val="0"/>
              <w:spacing w:before="0" w:after="283"/>
              <w:jc w:val="center"/>
              <w:rPr/>
            </w:pPr>
            <w:r>
              <w:rPr/>
              <w:t>Name and Address of Seller</w:t>
            </w:r>
          </w:p>
        </w:tc>
        <w:tc>
          <w:tcPr>
            <w:tcW w:w="2766"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885" w:type="dxa"/>
            <w:tcBorders/>
            <w:vAlign w:val="center"/>
          </w:tcPr>
          <w:p>
            <w:pPr>
              <w:pStyle w:val="TableHeading"/>
              <w:suppressLineNumbers/>
              <w:bidi w:val="0"/>
              <w:spacing w:before="0" w:after="283"/>
              <w:jc w:val="center"/>
              <w:rPr/>
            </w:pPr>
            <w:r>
              <w:rPr/>
              <w:t>Gross Proceeds</w:t>
            </w:r>
          </w:p>
        </w:tc>
      </w:tr>
      <w:tr>
        <w:trPr/>
        <w:tc>
          <w:tcPr>
            <w:tcW w:w="3124" w:type="dxa"/>
            <w:tcBorders/>
            <w:vAlign w:val="center"/>
          </w:tcPr>
          <w:p>
            <w:pPr>
              <w:pStyle w:val="TableContents"/>
              <w:bidi w:val="0"/>
              <w:spacing w:before="0" w:after="283"/>
              <w:jc w:val="left"/>
              <w:rPr/>
            </w:pPr>
            <w:r>
              <w:rPr/>
              <w:t>DAVID SPETZLER</w:t>
              <w:br/>
              <w:t>750 W JOHN CARPENTER FREEWAY</w:t>
              <w:br/>
              <w:t>SUITE 800</w:t>
              <w:br/>
              <w:t>IRVING   TX   75039</w:t>
            </w:r>
          </w:p>
        </w:tc>
        <w:tc>
          <w:tcPr>
            <w:tcW w:w="2766"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09/03/2026</w:t>
            </w:r>
          </w:p>
        </w:tc>
        <w:tc>
          <w:tcPr>
            <w:tcW w:w="1518" w:type="dxa"/>
            <w:tcBorders/>
            <w:vAlign w:val="center"/>
          </w:tcPr>
          <w:p>
            <w:pPr>
              <w:pStyle w:val="TableContents"/>
              <w:bidi w:val="0"/>
              <w:spacing w:before="0" w:after="283"/>
              <w:jc w:val="left"/>
              <w:rPr/>
            </w:pPr>
            <w:r>
              <w:rPr/>
              <w:t>478000</w:t>
            </w:r>
          </w:p>
        </w:tc>
        <w:tc>
          <w:tcPr>
            <w:tcW w:w="1885" w:type="dxa"/>
            <w:tcBorders/>
            <w:vAlign w:val="center"/>
          </w:tcPr>
          <w:p>
            <w:pPr>
              <w:pStyle w:val="TableContents"/>
              <w:bidi w:val="0"/>
              <w:spacing w:before="0" w:after="283"/>
              <w:jc w:val="left"/>
              <w:rPr/>
            </w:pPr>
            <w:r>
              <w:rPr/>
              <w:t>11882984.40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52"/>
        <w:gridCol w:w="8353"/>
      </w:tblGrid>
      <w:tr>
        <w:trPr/>
        <w:tc>
          <w:tcPr>
            <w:tcW w:w="1852" w:type="dxa"/>
            <w:tcBorders/>
            <w:vAlign w:val="center"/>
          </w:tcPr>
          <w:p>
            <w:pPr>
              <w:pStyle w:val="TableContents"/>
              <w:bidi w:val="0"/>
              <w:spacing w:before="0" w:after="283"/>
              <w:jc w:val="left"/>
              <w:rPr/>
            </w:pPr>
            <w:r>
              <w:rPr/>
              <w:t>Remarks</w:t>
            </w:r>
          </w:p>
        </w:tc>
        <w:tc>
          <w:tcPr>
            <w:tcW w:w="8353" w:type="dxa"/>
            <w:tcBorders/>
            <w:vAlign w:val="center"/>
          </w:tcPr>
          <w:p>
            <w:pPr>
              <w:pStyle w:val="TableContents"/>
              <w:bidi w:val="0"/>
              <w:spacing w:before="0" w:after="0"/>
              <w:jc w:val="left"/>
              <w:rPr/>
            </w:pPr>
            <w:r>
              <w:rPr/>
              <w:t>The client is selling enough shares to cover the options cost and taxes associated with the exercise of an expiring option.</w:t>
            </w:r>
          </w:p>
        </w:tc>
      </w:tr>
      <w:tr>
        <w:trPr/>
        <w:tc>
          <w:tcPr>
            <w:tcW w:w="1852" w:type="dxa"/>
            <w:tcBorders/>
            <w:vAlign w:val="center"/>
          </w:tcPr>
          <w:p>
            <w:pPr>
              <w:pStyle w:val="TableContents"/>
              <w:bidi w:val="0"/>
              <w:spacing w:before="0" w:after="283"/>
              <w:jc w:val="left"/>
              <w:rPr/>
            </w:pPr>
            <w:r>
              <w:rPr/>
              <w:t>Date of Notice</w:t>
            </w:r>
          </w:p>
        </w:tc>
        <w:tc>
          <w:tcPr>
            <w:tcW w:w="8353"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2" w:type="dxa"/>
            <w:tcBorders/>
            <w:vAlign w:val="center"/>
          </w:tcPr>
          <w:p>
            <w:pPr>
              <w:pStyle w:val="TableContents"/>
              <w:bidi w:val="0"/>
              <w:spacing w:before="0" w:after="283"/>
              <w:jc w:val="left"/>
              <w:rPr/>
            </w:pPr>
            <w:r>
              <w:rPr/>
              <w:t>Signature</w:t>
            </w:r>
          </w:p>
        </w:tc>
        <w:tc>
          <w:tcPr>
            <w:tcW w:w="8353" w:type="dxa"/>
            <w:tcBorders/>
            <w:vAlign w:val="center"/>
          </w:tcPr>
          <w:p>
            <w:pPr>
              <w:pStyle w:val="TableContents"/>
              <w:bidi w:val="0"/>
              <w:spacing w:before="0" w:after="0"/>
              <w:jc w:val="left"/>
              <w:rPr/>
            </w:pPr>
            <w:r>
              <w:rPr/>
              <w:t>/s/ David Spetzler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3206</Characters>
  <CharactersWithSpaces>3784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